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43" w:rsidRDefault="00105343" w:rsidP="00C82921">
      <w:pPr>
        <w:spacing w:line="276" w:lineRule="auto"/>
        <w:jc w:val="center"/>
        <w:rPr>
          <w:rFonts w:ascii="Arial" w:hAnsi="Arial" w:cs="Arial"/>
          <w:b/>
          <w:sz w:val="32"/>
          <w:szCs w:val="32"/>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46pt;height:42pt;z-index:-251658240;visibility:visible;mso-position-horizontal:center;mso-position-horizontal-relative:margin" wrapcoords="-354 0 -354 21214 21600 21214 21600 0 -354 0">
            <v:imagedata r:id="rId7" o:title=""/>
            <w10:wrap type="tight" anchorx="margin"/>
          </v:shape>
        </w:pict>
      </w:r>
    </w:p>
    <w:p w:rsidR="00105343" w:rsidRPr="00255A7D" w:rsidRDefault="00105343" w:rsidP="00C82921">
      <w:pPr>
        <w:spacing w:line="276" w:lineRule="auto"/>
        <w:jc w:val="center"/>
        <w:rPr>
          <w:rFonts w:ascii="Arial" w:hAnsi="Arial" w:cs="Arial"/>
          <w:b/>
        </w:rPr>
      </w:pPr>
    </w:p>
    <w:p w:rsidR="00105343" w:rsidRDefault="00105343" w:rsidP="00C82921">
      <w:pPr>
        <w:spacing w:line="276" w:lineRule="auto"/>
        <w:jc w:val="center"/>
        <w:rPr>
          <w:rFonts w:ascii="Arial" w:hAnsi="Arial" w:cs="Arial"/>
          <w:b/>
          <w:sz w:val="32"/>
          <w:szCs w:val="32"/>
        </w:rPr>
      </w:pPr>
      <w:r w:rsidRPr="00C34A01">
        <w:rPr>
          <w:rFonts w:ascii="Arial" w:hAnsi="Arial" w:cs="Arial"/>
          <w:b/>
          <w:sz w:val="32"/>
          <w:szCs w:val="32"/>
        </w:rPr>
        <w:t>JUMP Travel Fund</w:t>
      </w:r>
      <w:r>
        <w:rPr>
          <w:rFonts w:ascii="Arial" w:hAnsi="Arial" w:cs="Arial"/>
          <w:b/>
          <w:sz w:val="32"/>
          <w:szCs w:val="32"/>
        </w:rPr>
        <w:t xml:space="preserve"> Rules</w:t>
      </w:r>
    </w:p>
    <w:p w:rsidR="00105343" w:rsidRPr="005B465B" w:rsidRDefault="00105343" w:rsidP="00C82921">
      <w:pPr>
        <w:spacing w:line="276" w:lineRule="auto"/>
        <w:jc w:val="center"/>
        <w:rPr>
          <w:rFonts w:ascii="Arial" w:hAnsi="Arial" w:cs="Arial"/>
          <w:b/>
        </w:rPr>
      </w:pPr>
    </w:p>
    <w:p w:rsidR="00105343" w:rsidRDefault="00105343" w:rsidP="00C82921">
      <w:pPr>
        <w:spacing w:line="276" w:lineRule="auto"/>
        <w:ind w:firstLine="142"/>
        <w:jc w:val="both"/>
        <w:rPr>
          <w:rFonts w:ascii="Arial" w:hAnsi="Arial" w:cs="Arial"/>
          <w:b/>
        </w:rPr>
      </w:pPr>
      <w:r>
        <w:rPr>
          <w:rFonts w:ascii="Arial" w:hAnsi="Arial" w:cs="Arial"/>
          <w:b/>
        </w:rPr>
        <w:t>Preamble</w:t>
      </w:r>
    </w:p>
    <w:p w:rsidR="00105343" w:rsidRDefault="00105343" w:rsidP="00C82921">
      <w:pPr>
        <w:spacing w:line="276" w:lineRule="auto"/>
        <w:ind w:left="142"/>
        <w:jc w:val="both"/>
        <w:rPr>
          <w:rFonts w:ascii="Arial" w:hAnsi="Arial" w:cs="Arial"/>
        </w:rPr>
      </w:pPr>
      <w:r>
        <w:rPr>
          <w:rFonts w:ascii="Arial" w:hAnsi="Arial" w:cs="Arial"/>
        </w:rPr>
        <w:t>Jurismus has set up a marketing programme called the JUrismus Marketing Partnership (“JUMP”) to encourage young Eurojuris lawyers to exchange with colleagues in other countries and to market their law firms during their stay. To support this, Eurojuris International created a travel cost fund. The allowance of travelling costs shall be subject to the following rules:</w:t>
      </w:r>
    </w:p>
    <w:p w:rsidR="00105343" w:rsidRDefault="00105343" w:rsidP="00C82921">
      <w:pPr>
        <w:spacing w:after="0" w:line="276" w:lineRule="auto"/>
        <w:ind w:firstLine="142"/>
        <w:jc w:val="both"/>
        <w:rPr>
          <w:rFonts w:ascii="Arial" w:hAnsi="Arial" w:cs="Arial"/>
        </w:rPr>
      </w:pPr>
    </w:p>
    <w:p w:rsidR="00105343" w:rsidRDefault="00105343" w:rsidP="00C82921">
      <w:pPr>
        <w:pStyle w:val="ListParagraph"/>
        <w:numPr>
          <w:ilvl w:val="0"/>
          <w:numId w:val="1"/>
        </w:numPr>
        <w:spacing w:after="0" w:line="276" w:lineRule="auto"/>
        <w:ind w:left="709" w:hanging="425"/>
        <w:jc w:val="both"/>
        <w:rPr>
          <w:rFonts w:ascii="Arial" w:hAnsi="Arial" w:cs="Arial"/>
          <w:b/>
        </w:rPr>
      </w:pPr>
      <w:r w:rsidRPr="007B5ED4">
        <w:rPr>
          <w:rFonts w:ascii="Arial" w:hAnsi="Arial" w:cs="Arial"/>
          <w:b/>
        </w:rPr>
        <w:t>Entitled Persons</w:t>
      </w:r>
    </w:p>
    <w:p w:rsidR="00105343" w:rsidRDefault="00105343" w:rsidP="00C82921">
      <w:pPr>
        <w:pStyle w:val="ListParagraph"/>
        <w:spacing w:after="0" w:line="276" w:lineRule="auto"/>
        <w:ind w:left="709" w:hanging="425"/>
        <w:jc w:val="both"/>
        <w:rPr>
          <w:rFonts w:ascii="Arial" w:hAnsi="Arial" w:cs="Arial"/>
          <w:b/>
        </w:rPr>
      </w:pPr>
    </w:p>
    <w:p w:rsidR="00105343" w:rsidRDefault="00105343" w:rsidP="00C82921">
      <w:pPr>
        <w:pStyle w:val="ListParagraph"/>
        <w:spacing w:after="0" w:line="276" w:lineRule="auto"/>
        <w:ind w:left="709" w:firstLine="11"/>
        <w:jc w:val="both"/>
        <w:rPr>
          <w:rFonts w:ascii="Arial" w:hAnsi="Arial" w:cs="Arial"/>
        </w:rPr>
      </w:pPr>
      <w:r>
        <w:rPr>
          <w:rFonts w:ascii="Arial" w:hAnsi="Arial" w:cs="Arial"/>
        </w:rPr>
        <w:t>Eurojuris may at its own discretion award financial support to Jurismus members taking part in a marketing exchange with other Jurismus members under the JUMP programme (“participants”). A direct exchange between two participants is encouraged but is not mandatory.</w:t>
      </w:r>
    </w:p>
    <w:p w:rsidR="00105343" w:rsidRDefault="00105343" w:rsidP="00C82921">
      <w:pPr>
        <w:spacing w:after="0" w:line="276" w:lineRule="auto"/>
        <w:ind w:left="709" w:hanging="425"/>
        <w:jc w:val="both"/>
        <w:rPr>
          <w:rFonts w:ascii="Arial" w:hAnsi="Arial" w:cs="Arial"/>
        </w:rPr>
      </w:pPr>
    </w:p>
    <w:p w:rsidR="00105343" w:rsidRPr="00812D2F" w:rsidRDefault="00105343" w:rsidP="00C82921">
      <w:pPr>
        <w:pStyle w:val="ListParagraph"/>
        <w:numPr>
          <w:ilvl w:val="0"/>
          <w:numId w:val="1"/>
        </w:numPr>
        <w:spacing w:after="0" w:line="276" w:lineRule="auto"/>
        <w:ind w:left="709" w:hanging="425"/>
        <w:jc w:val="both"/>
        <w:rPr>
          <w:rFonts w:ascii="Arial" w:hAnsi="Arial" w:cs="Arial"/>
          <w:b/>
        </w:rPr>
      </w:pPr>
      <w:r w:rsidRPr="00812D2F">
        <w:rPr>
          <w:rFonts w:ascii="Arial" w:hAnsi="Arial" w:cs="Arial"/>
          <w:b/>
        </w:rPr>
        <w:t>Maximum support</w:t>
      </w:r>
    </w:p>
    <w:p w:rsidR="00105343" w:rsidRDefault="00105343" w:rsidP="00C82921">
      <w:pPr>
        <w:pStyle w:val="ListParagraph"/>
        <w:spacing w:after="0" w:line="276" w:lineRule="auto"/>
        <w:ind w:left="709" w:hanging="425"/>
        <w:jc w:val="both"/>
        <w:rPr>
          <w:rFonts w:ascii="Arial" w:hAnsi="Arial" w:cs="Arial"/>
        </w:rPr>
      </w:pPr>
    </w:p>
    <w:p w:rsidR="00105343" w:rsidRPr="000F27F7" w:rsidRDefault="00105343" w:rsidP="00C82921">
      <w:pPr>
        <w:pStyle w:val="ListParagraph"/>
        <w:numPr>
          <w:ilvl w:val="0"/>
          <w:numId w:val="2"/>
        </w:numPr>
        <w:tabs>
          <w:tab w:val="left" w:pos="1134"/>
        </w:tabs>
        <w:spacing w:after="0" w:line="276" w:lineRule="auto"/>
        <w:ind w:left="1134" w:hanging="425"/>
        <w:jc w:val="both"/>
        <w:rPr>
          <w:rFonts w:ascii="Arial" w:hAnsi="Arial" w:cs="Arial"/>
        </w:rPr>
      </w:pPr>
      <w:r>
        <w:rPr>
          <w:rFonts w:ascii="Arial" w:hAnsi="Arial" w:cs="Arial"/>
        </w:rPr>
        <w:t xml:space="preserve">The financial support shall only cover the reimbursement of travelling costs of the participants up to 250€ </w:t>
      </w:r>
      <w:r w:rsidRPr="000F27F7">
        <w:rPr>
          <w:rFonts w:ascii="Arial" w:hAnsi="Arial" w:cs="Arial"/>
        </w:rPr>
        <w:t xml:space="preserve">per participant (“support”). </w:t>
      </w:r>
    </w:p>
    <w:p w:rsidR="00105343" w:rsidRDefault="00105343" w:rsidP="00C82921">
      <w:pPr>
        <w:pStyle w:val="ListParagraph"/>
        <w:spacing w:after="0" w:line="276" w:lineRule="auto"/>
        <w:ind w:left="1134" w:firstLine="11"/>
        <w:jc w:val="both"/>
        <w:rPr>
          <w:rFonts w:ascii="Arial" w:hAnsi="Arial" w:cs="Arial"/>
        </w:rPr>
      </w:pPr>
    </w:p>
    <w:p w:rsidR="00105343" w:rsidRPr="00185716" w:rsidRDefault="00105343" w:rsidP="00C82921">
      <w:pPr>
        <w:pStyle w:val="ListParagraph"/>
        <w:numPr>
          <w:ilvl w:val="0"/>
          <w:numId w:val="2"/>
        </w:numPr>
        <w:spacing w:after="0" w:line="276" w:lineRule="auto"/>
        <w:jc w:val="both"/>
        <w:rPr>
          <w:rFonts w:ascii="Arial" w:hAnsi="Arial" w:cs="Arial"/>
        </w:rPr>
      </w:pPr>
      <w:r w:rsidRPr="00185716">
        <w:rPr>
          <w:rFonts w:ascii="Arial" w:hAnsi="Arial" w:cs="Arial"/>
        </w:rPr>
        <w:t>Any other cost will be borne by the participants themselves. Sending or hosting law firms may at their own discretion cover part of the costs which are not refunded by Eurojuris.</w:t>
      </w:r>
    </w:p>
    <w:p w:rsidR="00105343" w:rsidRDefault="00105343" w:rsidP="00C82921">
      <w:pPr>
        <w:pStyle w:val="ListParagraph"/>
        <w:spacing w:after="0" w:line="276" w:lineRule="auto"/>
        <w:ind w:left="1080" w:firstLine="142"/>
        <w:jc w:val="both"/>
        <w:rPr>
          <w:rFonts w:ascii="Arial" w:hAnsi="Arial" w:cs="Arial"/>
        </w:rPr>
      </w:pPr>
    </w:p>
    <w:p w:rsidR="00105343" w:rsidRDefault="00105343" w:rsidP="00C82921">
      <w:pPr>
        <w:pStyle w:val="ListParagraph"/>
        <w:numPr>
          <w:ilvl w:val="0"/>
          <w:numId w:val="1"/>
        </w:numPr>
        <w:spacing w:after="0" w:line="276" w:lineRule="auto"/>
        <w:ind w:hanging="436"/>
        <w:jc w:val="both"/>
        <w:rPr>
          <w:rFonts w:ascii="Arial" w:hAnsi="Arial" w:cs="Arial"/>
          <w:b/>
        </w:rPr>
      </w:pPr>
      <w:r w:rsidRPr="00812D2F">
        <w:rPr>
          <w:rFonts w:ascii="Arial" w:hAnsi="Arial" w:cs="Arial"/>
          <w:b/>
        </w:rPr>
        <w:t>Conditions</w:t>
      </w:r>
      <w:r>
        <w:rPr>
          <w:rFonts w:ascii="Arial" w:hAnsi="Arial" w:cs="Arial"/>
          <w:b/>
        </w:rPr>
        <w:t xml:space="preserve"> for support</w:t>
      </w:r>
    </w:p>
    <w:p w:rsidR="00105343" w:rsidRDefault="00105343" w:rsidP="00C82921">
      <w:pPr>
        <w:spacing w:after="0" w:line="276" w:lineRule="auto"/>
        <w:ind w:left="360" w:firstLine="142"/>
        <w:jc w:val="both"/>
        <w:rPr>
          <w:rFonts w:ascii="Arial" w:hAnsi="Arial" w:cs="Arial"/>
        </w:rPr>
      </w:pPr>
    </w:p>
    <w:p w:rsidR="00105343" w:rsidRDefault="00105343" w:rsidP="00C82921">
      <w:pPr>
        <w:pStyle w:val="ListParagraph"/>
        <w:numPr>
          <w:ilvl w:val="0"/>
          <w:numId w:val="3"/>
        </w:numPr>
        <w:tabs>
          <w:tab w:val="left" w:pos="1134"/>
        </w:tabs>
        <w:spacing w:after="0" w:line="276" w:lineRule="auto"/>
        <w:ind w:left="1134" w:hanging="425"/>
        <w:jc w:val="both"/>
        <w:rPr>
          <w:rFonts w:ascii="Arial" w:hAnsi="Arial" w:cs="Arial"/>
        </w:rPr>
      </w:pPr>
      <w:r>
        <w:rPr>
          <w:rFonts w:ascii="Arial" w:hAnsi="Arial" w:cs="Arial"/>
        </w:rPr>
        <w:t xml:space="preserve">The participants must submit a completed application form to the Board of Jurismus (“the Board”) prior to the exchange which sets out a short description of the marketing measures planned with the host firm (“the programme”). An application form can be obtained by emailing: </w:t>
      </w:r>
      <w:hyperlink r:id="rId8" w:history="1">
        <w:r w:rsidRPr="00F5669F">
          <w:rPr>
            <w:rStyle w:val="Hyperlink"/>
            <w:rFonts w:ascii="Arial" w:hAnsi="Arial" w:cs="Arial"/>
          </w:rPr>
          <w:t>info@eurojuris.net</w:t>
        </w:r>
      </w:hyperlink>
    </w:p>
    <w:p w:rsidR="00105343" w:rsidRDefault="00105343" w:rsidP="00C82921">
      <w:pPr>
        <w:pStyle w:val="ListParagraph"/>
        <w:tabs>
          <w:tab w:val="left" w:pos="1134"/>
        </w:tabs>
        <w:spacing w:after="0" w:line="276" w:lineRule="auto"/>
        <w:ind w:left="1134"/>
        <w:jc w:val="both"/>
        <w:rPr>
          <w:rFonts w:ascii="Arial" w:hAnsi="Arial" w:cs="Arial"/>
        </w:rPr>
      </w:pPr>
    </w:p>
    <w:p w:rsidR="00105343" w:rsidRDefault="00105343" w:rsidP="00C82921">
      <w:pPr>
        <w:pStyle w:val="ListParagraph"/>
        <w:numPr>
          <w:ilvl w:val="0"/>
          <w:numId w:val="3"/>
        </w:numPr>
        <w:tabs>
          <w:tab w:val="left" w:pos="1134"/>
        </w:tabs>
        <w:spacing w:after="0" w:line="276" w:lineRule="auto"/>
        <w:ind w:left="1134" w:hanging="425"/>
        <w:jc w:val="both"/>
        <w:rPr>
          <w:rFonts w:ascii="Arial" w:hAnsi="Arial" w:cs="Arial"/>
        </w:rPr>
      </w:pPr>
      <w:r w:rsidRPr="00185716">
        <w:rPr>
          <w:rFonts w:ascii="Arial" w:hAnsi="Arial" w:cs="Arial"/>
        </w:rPr>
        <w:t>The exchange should be planned for</w:t>
      </w:r>
      <w:r>
        <w:rPr>
          <w:rFonts w:ascii="Arial" w:hAnsi="Arial" w:cs="Arial"/>
        </w:rPr>
        <w:t xml:space="preserve"> a minimum of</w:t>
      </w:r>
      <w:r w:rsidRPr="00185716">
        <w:rPr>
          <w:rFonts w:ascii="Arial" w:hAnsi="Arial" w:cs="Arial"/>
        </w:rPr>
        <w:t xml:space="preserve"> 2-3 days.</w:t>
      </w:r>
    </w:p>
    <w:p w:rsidR="00105343" w:rsidRPr="00185716" w:rsidRDefault="00105343" w:rsidP="00C82921">
      <w:pPr>
        <w:pStyle w:val="ListParagraph"/>
        <w:rPr>
          <w:rFonts w:ascii="Arial" w:hAnsi="Arial" w:cs="Arial"/>
        </w:rPr>
      </w:pPr>
    </w:p>
    <w:p w:rsidR="00105343" w:rsidRPr="00185716" w:rsidRDefault="00105343" w:rsidP="00C82921">
      <w:pPr>
        <w:pStyle w:val="ListParagraph"/>
        <w:numPr>
          <w:ilvl w:val="0"/>
          <w:numId w:val="3"/>
        </w:numPr>
        <w:tabs>
          <w:tab w:val="left" w:pos="1134"/>
        </w:tabs>
        <w:spacing w:after="0" w:line="276" w:lineRule="auto"/>
        <w:ind w:left="1134" w:hanging="425"/>
        <w:jc w:val="both"/>
        <w:rPr>
          <w:rFonts w:ascii="Arial" w:hAnsi="Arial" w:cs="Arial"/>
        </w:rPr>
      </w:pPr>
      <w:r w:rsidRPr="00185716">
        <w:rPr>
          <w:rFonts w:ascii="Arial" w:hAnsi="Arial" w:cs="Arial"/>
        </w:rPr>
        <w:t>The programme must include:</w:t>
      </w:r>
    </w:p>
    <w:p w:rsidR="00105343" w:rsidRPr="00255A7D" w:rsidRDefault="00105343" w:rsidP="00C82921">
      <w:pPr>
        <w:spacing w:after="0" w:line="276" w:lineRule="auto"/>
        <w:ind w:hanging="796"/>
        <w:jc w:val="both"/>
        <w:rPr>
          <w:rFonts w:ascii="Arial" w:hAnsi="Arial" w:cs="Arial"/>
        </w:rPr>
      </w:pPr>
    </w:p>
    <w:p w:rsidR="00105343" w:rsidRDefault="00105343" w:rsidP="002E0512">
      <w:pPr>
        <w:pStyle w:val="ListParagraph"/>
        <w:numPr>
          <w:ilvl w:val="1"/>
          <w:numId w:val="3"/>
        </w:numPr>
        <w:spacing w:after="0" w:line="276" w:lineRule="auto"/>
        <w:ind w:left="1701" w:hanging="425"/>
        <w:jc w:val="both"/>
        <w:rPr>
          <w:rFonts w:ascii="Arial" w:hAnsi="Arial" w:cs="Arial"/>
        </w:rPr>
      </w:pPr>
      <w:r>
        <w:rPr>
          <w:rFonts w:ascii="Arial" w:hAnsi="Arial" w:cs="Arial"/>
        </w:rPr>
        <w:t>Induction session by the host firm providing an overview of its areas of practice</w:t>
      </w:r>
    </w:p>
    <w:p w:rsidR="00105343" w:rsidRDefault="00105343" w:rsidP="00C82921">
      <w:pPr>
        <w:pStyle w:val="ListParagraph"/>
        <w:numPr>
          <w:ilvl w:val="1"/>
          <w:numId w:val="3"/>
        </w:numPr>
        <w:spacing w:after="0" w:line="276" w:lineRule="auto"/>
        <w:ind w:left="1701" w:hanging="425"/>
        <w:jc w:val="both"/>
        <w:rPr>
          <w:rFonts w:ascii="Arial" w:hAnsi="Arial" w:cs="Arial"/>
        </w:rPr>
      </w:pPr>
      <w:r w:rsidRPr="00185716">
        <w:rPr>
          <w:rFonts w:ascii="Arial" w:hAnsi="Arial" w:cs="Arial"/>
        </w:rPr>
        <w:t>Presentation by participant at a relevant departmental or other meeting at the host firm covering their own practice areas and providing an overview of their home state’s legal system</w:t>
      </w:r>
    </w:p>
    <w:p w:rsidR="00105343" w:rsidRDefault="00105343" w:rsidP="00C82921">
      <w:pPr>
        <w:pStyle w:val="ListParagraph"/>
        <w:numPr>
          <w:ilvl w:val="1"/>
          <w:numId w:val="3"/>
        </w:numPr>
        <w:spacing w:after="0" w:line="276" w:lineRule="auto"/>
        <w:ind w:left="1701" w:hanging="425"/>
        <w:jc w:val="both"/>
        <w:rPr>
          <w:rFonts w:ascii="Arial" w:hAnsi="Arial" w:cs="Arial"/>
        </w:rPr>
      </w:pPr>
      <w:r w:rsidRPr="00185716">
        <w:rPr>
          <w:rFonts w:ascii="Arial" w:hAnsi="Arial" w:cs="Arial"/>
        </w:rPr>
        <w:t>Meeting with an existing or potential client</w:t>
      </w:r>
      <w:r>
        <w:rPr>
          <w:rFonts w:ascii="Arial" w:hAnsi="Arial" w:cs="Arial"/>
        </w:rPr>
        <w:t>, or with a business contact (this includes informal meetings e.g. a networking event or</w:t>
      </w:r>
      <w:bookmarkStart w:id="0" w:name="_GoBack"/>
      <w:bookmarkEnd w:id="0"/>
      <w:r>
        <w:rPr>
          <w:rFonts w:ascii="Arial" w:hAnsi="Arial" w:cs="Arial"/>
        </w:rPr>
        <w:t xml:space="preserve"> a business lunch)</w:t>
      </w:r>
    </w:p>
    <w:p w:rsidR="00105343" w:rsidRDefault="00105343" w:rsidP="002E0512">
      <w:pPr>
        <w:pStyle w:val="ListParagraph"/>
        <w:spacing w:after="0" w:line="276" w:lineRule="auto"/>
        <w:ind w:left="1102"/>
        <w:jc w:val="both"/>
        <w:rPr>
          <w:rFonts w:ascii="Arial" w:hAnsi="Arial" w:cs="Arial"/>
        </w:rPr>
      </w:pPr>
      <w:r>
        <w:rPr>
          <w:rFonts w:ascii="Arial" w:hAnsi="Arial" w:cs="Arial"/>
        </w:rPr>
        <w:t>It</w:t>
      </w:r>
      <w:r w:rsidRPr="002E0512">
        <w:rPr>
          <w:rFonts w:ascii="Arial" w:hAnsi="Arial" w:cs="Arial"/>
        </w:rPr>
        <w:t xml:space="preserve"> </w:t>
      </w:r>
      <w:r>
        <w:rPr>
          <w:rFonts w:ascii="Arial" w:hAnsi="Arial" w:cs="Arial"/>
        </w:rPr>
        <w:t>co</w:t>
      </w:r>
      <w:r w:rsidRPr="002E0512">
        <w:rPr>
          <w:rFonts w:ascii="Arial" w:hAnsi="Arial" w:cs="Arial"/>
        </w:rPr>
        <w:t>uld also include:</w:t>
      </w:r>
    </w:p>
    <w:p w:rsidR="00105343" w:rsidRPr="002E0512" w:rsidRDefault="00105343" w:rsidP="002E0512">
      <w:pPr>
        <w:pStyle w:val="ListParagraph"/>
        <w:spacing w:after="0" w:line="276" w:lineRule="auto"/>
        <w:ind w:left="1102"/>
        <w:jc w:val="both"/>
        <w:rPr>
          <w:rFonts w:ascii="Arial" w:hAnsi="Arial" w:cs="Arial"/>
        </w:rPr>
      </w:pPr>
    </w:p>
    <w:p w:rsidR="00105343" w:rsidRPr="002E0512" w:rsidRDefault="00105343" w:rsidP="002E0512">
      <w:pPr>
        <w:pStyle w:val="ListParagraph"/>
        <w:numPr>
          <w:ilvl w:val="1"/>
          <w:numId w:val="3"/>
        </w:numPr>
        <w:spacing w:after="0" w:line="276" w:lineRule="auto"/>
        <w:ind w:left="1701" w:hanging="425"/>
        <w:jc w:val="both"/>
        <w:rPr>
          <w:rFonts w:ascii="Arial" w:hAnsi="Arial" w:cs="Arial"/>
        </w:rPr>
      </w:pPr>
      <w:r w:rsidRPr="00185716">
        <w:rPr>
          <w:rFonts w:ascii="Arial" w:hAnsi="Arial" w:cs="Arial"/>
        </w:rPr>
        <w:t xml:space="preserve">Assisting with a piece of legal research </w:t>
      </w:r>
    </w:p>
    <w:p w:rsidR="00105343" w:rsidRPr="00443290" w:rsidRDefault="00105343" w:rsidP="00C82921">
      <w:pPr>
        <w:pStyle w:val="ListParagraph"/>
        <w:numPr>
          <w:ilvl w:val="1"/>
          <w:numId w:val="3"/>
        </w:numPr>
        <w:spacing w:after="0" w:line="276" w:lineRule="auto"/>
        <w:ind w:left="1701" w:hanging="425"/>
        <w:jc w:val="both"/>
        <w:rPr>
          <w:rFonts w:ascii="Arial" w:hAnsi="Arial" w:cs="Arial"/>
        </w:rPr>
      </w:pPr>
      <w:r>
        <w:rPr>
          <w:rFonts w:ascii="Arial" w:hAnsi="Arial" w:cs="Arial"/>
        </w:rPr>
        <w:t>Court visit</w:t>
      </w:r>
    </w:p>
    <w:p w:rsidR="00105343" w:rsidRPr="00443290" w:rsidRDefault="00105343" w:rsidP="00C82921">
      <w:pPr>
        <w:pStyle w:val="ListParagraph"/>
        <w:numPr>
          <w:ilvl w:val="1"/>
          <w:numId w:val="3"/>
        </w:numPr>
        <w:spacing w:after="0" w:line="276" w:lineRule="auto"/>
        <w:ind w:left="1701" w:hanging="425"/>
        <w:jc w:val="both"/>
        <w:rPr>
          <w:rFonts w:ascii="Arial" w:hAnsi="Arial" w:cs="Arial"/>
        </w:rPr>
      </w:pPr>
      <w:r w:rsidRPr="00443290">
        <w:rPr>
          <w:rFonts w:ascii="Arial" w:hAnsi="Arial" w:cs="Arial"/>
        </w:rPr>
        <w:t xml:space="preserve">Visit to the chamber of commerce (appointment with the legal director or a </w:t>
      </w:r>
    </w:p>
    <w:p w:rsidR="00105343" w:rsidRDefault="00105343" w:rsidP="00C82921">
      <w:pPr>
        <w:pStyle w:val="ListParagraph"/>
        <w:tabs>
          <w:tab w:val="left" w:pos="1701"/>
        </w:tabs>
        <w:spacing w:after="0" w:line="276" w:lineRule="auto"/>
        <w:ind w:left="1134" w:firstLine="142"/>
        <w:jc w:val="both"/>
        <w:rPr>
          <w:rFonts w:ascii="Arial" w:hAnsi="Arial" w:cs="Arial"/>
        </w:rPr>
      </w:pPr>
      <w:r>
        <w:rPr>
          <w:rFonts w:ascii="Arial" w:hAnsi="Arial" w:cs="Arial"/>
        </w:rPr>
        <w:tab/>
        <w:t>director of a certain sector)</w:t>
      </w:r>
    </w:p>
    <w:p w:rsidR="00105343" w:rsidRDefault="00105343" w:rsidP="00C82921">
      <w:pPr>
        <w:pStyle w:val="ListParagraph"/>
        <w:numPr>
          <w:ilvl w:val="1"/>
          <w:numId w:val="3"/>
        </w:numPr>
        <w:tabs>
          <w:tab w:val="left" w:pos="1701"/>
        </w:tabs>
        <w:spacing w:after="0" w:line="276" w:lineRule="auto"/>
        <w:ind w:left="1134" w:firstLine="142"/>
        <w:jc w:val="both"/>
        <w:rPr>
          <w:rFonts w:ascii="Arial" w:hAnsi="Arial" w:cs="Arial"/>
        </w:rPr>
      </w:pPr>
      <w:r>
        <w:rPr>
          <w:rFonts w:ascii="Arial" w:hAnsi="Arial" w:cs="Arial"/>
        </w:rPr>
        <w:t>Attendance at a networking event</w:t>
      </w:r>
    </w:p>
    <w:p w:rsidR="00105343" w:rsidRPr="00C34A01" w:rsidRDefault="00105343" w:rsidP="00C82921">
      <w:pPr>
        <w:spacing w:after="0" w:line="276" w:lineRule="auto"/>
        <w:ind w:firstLine="142"/>
        <w:jc w:val="both"/>
        <w:rPr>
          <w:rFonts w:ascii="Arial" w:hAnsi="Arial" w:cs="Arial"/>
        </w:rPr>
      </w:pPr>
    </w:p>
    <w:p w:rsidR="00105343" w:rsidRPr="008C4C57" w:rsidRDefault="00105343" w:rsidP="00C82921">
      <w:pPr>
        <w:pStyle w:val="ListParagraph"/>
        <w:numPr>
          <w:ilvl w:val="0"/>
          <w:numId w:val="3"/>
        </w:numPr>
        <w:spacing w:after="0" w:line="276" w:lineRule="auto"/>
        <w:ind w:left="1134" w:hanging="393"/>
        <w:jc w:val="both"/>
        <w:rPr>
          <w:rFonts w:ascii="Arial" w:hAnsi="Arial" w:cs="Arial"/>
        </w:rPr>
      </w:pPr>
      <w:r w:rsidRPr="008C4C57">
        <w:rPr>
          <w:rFonts w:ascii="Arial" w:hAnsi="Arial" w:cs="Arial"/>
        </w:rPr>
        <w:t xml:space="preserve">The participants must provide within eight weeks of the end of the exchange: </w:t>
      </w:r>
    </w:p>
    <w:p w:rsidR="00105343" w:rsidRPr="00C34A01" w:rsidRDefault="00105343" w:rsidP="00C82921">
      <w:pPr>
        <w:pStyle w:val="ListParagraph"/>
        <w:spacing w:after="0" w:line="276" w:lineRule="auto"/>
        <w:ind w:left="1080" w:firstLine="142"/>
        <w:jc w:val="both"/>
        <w:rPr>
          <w:rFonts w:ascii="Arial" w:hAnsi="Arial" w:cs="Arial"/>
        </w:rPr>
      </w:pPr>
    </w:p>
    <w:p w:rsidR="00105343" w:rsidRDefault="00105343" w:rsidP="00C82921">
      <w:pPr>
        <w:pStyle w:val="ListParagraph"/>
        <w:numPr>
          <w:ilvl w:val="0"/>
          <w:numId w:val="5"/>
        </w:numPr>
        <w:spacing w:after="0" w:line="276" w:lineRule="auto"/>
        <w:ind w:left="1701" w:hanging="425"/>
        <w:jc w:val="both"/>
        <w:rPr>
          <w:rFonts w:ascii="Arial" w:hAnsi="Arial" w:cs="Arial"/>
        </w:rPr>
      </w:pPr>
      <w:r>
        <w:rPr>
          <w:rFonts w:ascii="Arial" w:hAnsi="Arial" w:cs="Arial"/>
        </w:rPr>
        <w:t>receipts for their travel costs</w:t>
      </w:r>
    </w:p>
    <w:p w:rsidR="00105343" w:rsidRDefault="00105343" w:rsidP="00C82921">
      <w:pPr>
        <w:pStyle w:val="ListParagraph"/>
        <w:numPr>
          <w:ilvl w:val="0"/>
          <w:numId w:val="5"/>
        </w:numPr>
        <w:spacing w:after="0" w:line="276" w:lineRule="auto"/>
        <w:ind w:left="1701" w:hanging="425"/>
        <w:jc w:val="both"/>
        <w:rPr>
          <w:rFonts w:ascii="Arial" w:hAnsi="Arial" w:cs="Arial"/>
        </w:rPr>
      </w:pPr>
      <w:r>
        <w:rPr>
          <w:rFonts w:ascii="Arial" w:hAnsi="Arial" w:cs="Arial"/>
        </w:rPr>
        <w:t xml:space="preserve">a completed certificate of attendance signed by the host firm </w:t>
      </w:r>
    </w:p>
    <w:p w:rsidR="00105343" w:rsidRDefault="00105343" w:rsidP="00C82921">
      <w:pPr>
        <w:pStyle w:val="ListParagraph"/>
        <w:numPr>
          <w:ilvl w:val="0"/>
          <w:numId w:val="5"/>
        </w:numPr>
        <w:spacing w:after="0" w:line="276" w:lineRule="auto"/>
        <w:ind w:left="1701" w:hanging="425"/>
        <w:jc w:val="both"/>
        <w:rPr>
          <w:rFonts w:ascii="Arial" w:hAnsi="Arial" w:cs="Arial"/>
        </w:rPr>
      </w:pPr>
      <w:r>
        <w:rPr>
          <w:rFonts w:ascii="Arial" w:hAnsi="Arial" w:cs="Arial"/>
        </w:rPr>
        <w:t>a written report of the exchange confirming that the marketing measures planned were taken (“the report”) to the Board.</w:t>
      </w:r>
    </w:p>
    <w:p w:rsidR="00105343" w:rsidRDefault="00105343" w:rsidP="00C82921">
      <w:pPr>
        <w:tabs>
          <w:tab w:val="left" w:pos="709"/>
        </w:tabs>
        <w:spacing w:after="0" w:line="276" w:lineRule="auto"/>
        <w:jc w:val="both"/>
        <w:rPr>
          <w:rFonts w:ascii="Arial" w:hAnsi="Arial" w:cs="Arial"/>
        </w:rPr>
      </w:pPr>
    </w:p>
    <w:p w:rsidR="00105343" w:rsidRPr="008C4C57" w:rsidRDefault="00105343" w:rsidP="00C82921">
      <w:pPr>
        <w:pStyle w:val="ListParagraph"/>
        <w:numPr>
          <w:ilvl w:val="0"/>
          <w:numId w:val="1"/>
        </w:numPr>
        <w:tabs>
          <w:tab w:val="left" w:pos="709"/>
        </w:tabs>
        <w:spacing w:after="0" w:line="276" w:lineRule="auto"/>
        <w:ind w:hanging="436"/>
        <w:jc w:val="both"/>
        <w:rPr>
          <w:rFonts w:ascii="Arial" w:hAnsi="Arial" w:cs="Arial"/>
          <w:b/>
        </w:rPr>
      </w:pPr>
      <w:r w:rsidRPr="008C4C57">
        <w:rPr>
          <w:rFonts w:ascii="Arial" w:hAnsi="Arial" w:cs="Arial"/>
          <w:b/>
        </w:rPr>
        <w:t xml:space="preserve">Procedure </w:t>
      </w:r>
    </w:p>
    <w:p w:rsidR="00105343" w:rsidRDefault="00105343" w:rsidP="00C82921">
      <w:pPr>
        <w:spacing w:after="0" w:line="276" w:lineRule="auto"/>
        <w:jc w:val="both"/>
        <w:rPr>
          <w:rFonts w:ascii="Arial" w:hAnsi="Arial" w:cs="Arial"/>
        </w:rPr>
      </w:pPr>
    </w:p>
    <w:p w:rsidR="00105343" w:rsidRDefault="00105343" w:rsidP="00C82921">
      <w:pPr>
        <w:pStyle w:val="ListParagraph"/>
        <w:numPr>
          <w:ilvl w:val="0"/>
          <w:numId w:val="6"/>
        </w:numPr>
        <w:tabs>
          <w:tab w:val="left" w:pos="1134"/>
        </w:tabs>
        <w:spacing w:after="0" w:line="276" w:lineRule="auto"/>
        <w:ind w:hanging="436"/>
        <w:jc w:val="both"/>
        <w:rPr>
          <w:rFonts w:ascii="Arial" w:hAnsi="Arial" w:cs="Arial"/>
        </w:rPr>
      </w:pPr>
      <w:r w:rsidRPr="008C4C57">
        <w:rPr>
          <w:rFonts w:ascii="Arial" w:hAnsi="Arial" w:cs="Arial"/>
        </w:rPr>
        <w:t>Upon the receipt of an application in accordance with rule 3.a. the Board will give a provisional promise to a participant for support, provided that the fund contains enough capital.</w:t>
      </w:r>
    </w:p>
    <w:p w:rsidR="00105343" w:rsidRDefault="00105343" w:rsidP="00C82921">
      <w:pPr>
        <w:pStyle w:val="ListParagraph"/>
        <w:tabs>
          <w:tab w:val="left" w:pos="1134"/>
        </w:tabs>
        <w:spacing w:after="0" w:line="276" w:lineRule="auto"/>
        <w:ind w:left="1145"/>
        <w:jc w:val="both"/>
        <w:rPr>
          <w:rFonts w:ascii="Arial" w:hAnsi="Arial" w:cs="Arial"/>
        </w:rPr>
      </w:pPr>
    </w:p>
    <w:p w:rsidR="00105343" w:rsidRDefault="00105343" w:rsidP="00C82921">
      <w:pPr>
        <w:pStyle w:val="ListParagraph"/>
        <w:numPr>
          <w:ilvl w:val="0"/>
          <w:numId w:val="6"/>
        </w:numPr>
        <w:tabs>
          <w:tab w:val="left" w:pos="1134"/>
        </w:tabs>
        <w:spacing w:after="0" w:line="276" w:lineRule="auto"/>
        <w:ind w:hanging="436"/>
        <w:jc w:val="both"/>
        <w:rPr>
          <w:rFonts w:ascii="Arial" w:hAnsi="Arial" w:cs="Arial"/>
        </w:rPr>
      </w:pPr>
      <w:r w:rsidRPr="008C4C57">
        <w:rPr>
          <w:rFonts w:ascii="Arial" w:hAnsi="Arial" w:cs="Arial"/>
        </w:rPr>
        <w:t>Where a participant provides documentation in accordance with rule 3.d. the Board will forward the request to the general secretariat of Eurojuris International with a recommendation for provision of the support</w:t>
      </w:r>
      <w:r>
        <w:rPr>
          <w:rFonts w:ascii="Arial" w:hAnsi="Arial" w:cs="Arial"/>
        </w:rPr>
        <w:t>.</w:t>
      </w:r>
    </w:p>
    <w:p w:rsidR="00105343" w:rsidRPr="008C4C57" w:rsidRDefault="00105343" w:rsidP="00C82921">
      <w:pPr>
        <w:pStyle w:val="ListParagraph"/>
        <w:tabs>
          <w:tab w:val="left" w:pos="1134"/>
        </w:tabs>
        <w:rPr>
          <w:rFonts w:ascii="Arial" w:hAnsi="Arial" w:cs="Arial"/>
        </w:rPr>
      </w:pPr>
    </w:p>
    <w:p w:rsidR="00105343" w:rsidRPr="008C4C57" w:rsidRDefault="00105343" w:rsidP="00C82921">
      <w:pPr>
        <w:pStyle w:val="ListParagraph"/>
        <w:numPr>
          <w:ilvl w:val="0"/>
          <w:numId w:val="6"/>
        </w:numPr>
        <w:tabs>
          <w:tab w:val="left" w:pos="1134"/>
        </w:tabs>
        <w:spacing w:after="0" w:line="276" w:lineRule="auto"/>
        <w:ind w:hanging="436"/>
        <w:jc w:val="both"/>
        <w:rPr>
          <w:rFonts w:ascii="Arial" w:hAnsi="Arial" w:cs="Arial"/>
        </w:rPr>
      </w:pPr>
      <w:r w:rsidRPr="008C4C57">
        <w:rPr>
          <w:rFonts w:ascii="Arial" w:hAnsi="Arial" w:cs="Arial"/>
        </w:rPr>
        <w:t>Eurojuris International will then effect payment of the support to the participants.</w:t>
      </w:r>
    </w:p>
    <w:p w:rsidR="00105343" w:rsidRPr="00337F16" w:rsidRDefault="00105343" w:rsidP="00C82921">
      <w:pPr>
        <w:pStyle w:val="ListParagraph"/>
        <w:spacing w:after="0" w:line="276" w:lineRule="auto"/>
        <w:ind w:firstLine="142"/>
        <w:jc w:val="both"/>
        <w:rPr>
          <w:rFonts w:ascii="Arial" w:hAnsi="Arial" w:cs="Arial"/>
        </w:rPr>
      </w:pPr>
    </w:p>
    <w:p w:rsidR="00105343" w:rsidRDefault="00105343" w:rsidP="00C82921">
      <w:pPr>
        <w:pStyle w:val="ListParagraph"/>
        <w:numPr>
          <w:ilvl w:val="0"/>
          <w:numId w:val="1"/>
        </w:numPr>
        <w:spacing w:after="0" w:line="276" w:lineRule="auto"/>
        <w:jc w:val="both"/>
        <w:rPr>
          <w:rFonts w:ascii="Arial" w:hAnsi="Arial" w:cs="Arial"/>
          <w:b/>
        </w:rPr>
      </w:pPr>
      <w:r w:rsidRPr="008C4C57">
        <w:rPr>
          <w:rFonts w:ascii="Arial" w:hAnsi="Arial" w:cs="Arial"/>
          <w:b/>
        </w:rPr>
        <w:t>Publishing of the report</w:t>
      </w:r>
    </w:p>
    <w:p w:rsidR="00105343" w:rsidRDefault="00105343" w:rsidP="00C82921">
      <w:pPr>
        <w:spacing w:after="0" w:line="276" w:lineRule="auto"/>
        <w:jc w:val="both"/>
        <w:rPr>
          <w:rFonts w:ascii="Arial" w:hAnsi="Arial" w:cs="Arial"/>
        </w:rPr>
      </w:pPr>
    </w:p>
    <w:p w:rsidR="00105343" w:rsidRPr="008C4C57" w:rsidRDefault="00105343" w:rsidP="00C82921">
      <w:pPr>
        <w:pStyle w:val="ListParagraph"/>
        <w:numPr>
          <w:ilvl w:val="0"/>
          <w:numId w:val="4"/>
        </w:numPr>
        <w:spacing w:after="0" w:line="276" w:lineRule="auto"/>
        <w:ind w:left="1134" w:hanging="425"/>
        <w:jc w:val="both"/>
        <w:rPr>
          <w:rFonts w:ascii="Arial" w:hAnsi="Arial" w:cs="Arial"/>
          <w:b/>
        </w:rPr>
      </w:pPr>
      <w:r w:rsidRPr="008C4C57">
        <w:rPr>
          <w:rFonts w:ascii="Arial" w:hAnsi="Arial" w:cs="Arial"/>
        </w:rPr>
        <w:t>The participants agree that the report is published by the Board on the websites of, or related to, Eurojuris International, the national chapters of Eurojuris and Jurismus International.</w:t>
      </w:r>
    </w:p>
    <w:p w:rsidR="00105343" w:rsidRPr="008C4C57" w:rsidRDefault="00105343" w:rsidP="00C82921">
      <w:pPr>
        <w:pStyle w:val="ListParagraph"/>
        <w:spacing w:after="0" w:line="276" w:lineRule="auto"/>
        <w:ind w:left="1091"/>
        <w:jc w:val="both"/>
        <w:rPr>
          <w:rFonts w:ascii="Arial" w:hAnsi="Arial" w:cs="Arial"/>
          <w:b/>
        </w:rPr>
      </w:pPr>
    </w:p>
    <w:p w:rsidR="00105343" w:rsidRPr="008C4C57" w:rsidRDefault="00105343" w:rsidP="00C82921">
      <w:pPr>
        <w:pStyle w:val="ListParagraph"/>
        <w:numPr>
          <w:ilvl w:val="0"/>
          <w:numId w:val="4"/>
        </w:numPr>
        <w:spacing w:after="0" w:line="276" w:lineRule="auto"/>
        <w:ind w:left="1134" w:hanging="403"/>
        <w:jc w:val="both"/>
        <w:rPr>
          <w:rFonts w:ascii="Arial" w:hAnsi="Arial" w:cs="Arial"/>
          <w:b/>
        </w:rPr>
      </w:pPr>
      <w:r w:rsidRPr="008C4C57">
        <w:rPr>
          <w:rFonts w:ascii="Arial" w:hAnsi="Arial" w:cs="Arial"/>
        </w:rPr>
        <w:t>The participants also agree that the Board may publish the report in a newsletter of Jurismus International or any other form and circulate it throughout the national and international networks of Eurojuris and Jurismus and to any third party interested in it.</w:t>
      </w:r>
    </w:p>
    <w:p w:rsidR="00105343" w:rsidRDefault="00105343" w:rsidP="00C82921">
      <w:pPr>
        <w:spacing w:after="0" w:line="276" w:lineRule="auto"/>
        <w:ind w:firstLine="142"/>
        <w:jc w:val="both"/>
        <w:rPr>
          <w:rFonts w:ascii="Arial" w:hAnsi="Arial" w:cs="Arial"/>
        </w:rPr>
      </w:pPr>
    </w:p>
    <w:p w:rsidR="00105343" w:rsidRPr="00664A69" w:rsidRDefault="00105343">
      <w:pPr>
        <w:rPr>
          <w:rFonts w:ascii="Arial" w:hAnsi="Arial" w:cs="Arial"/>
        </w:rPr>
      </w:pPr>
    </w:p>
    <w:sectPr w:rsidR="00105343" w:rsidRPr="00664A69" w:rsidSect="00C82921">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343" w:rsidRDefault="00105343" w:rsidP="003A013C">
      <w:pPr>
        <w:spacing w:line="240" w:lineRule="auto"/>
      </w:pPr>
      <w:r>
        <w:separator/>
      </w:r>
    </w:p>
  </w:endnote>
  <w:endnote w:type="continuationSeparator" w:id="0">
    <w:p w:rsidR="00105343" w:rsidRDefault="00105343" w:rsidP="003A01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Lucida Sans Unicode"/>
    <w:panose1 w:val="020B0603030504020204"/>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43" w:rsidRDefault="001053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43" w:rsidRPr="003A013C" w:rsidRDefault="00105343">
    <w:pPr>
      <w:pStyle w:val="Footer"/>
      <w:rPr>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43" w:rsidRDefault="00105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343" w:rsidRDefault="00105343" w:rsidP="003A013C">
      <w:pPr>
        <w:spacing w:line="240" w:lineRule="auto"/>
      </w:pPr>
      <w:r>
        <w:separator/>
      </w:r>
    </w:p>
  </w:footnote>
  <w:footnote w:type="continuationSeparator" w:id="0">
    <w:p w:rsidR="00105343" w:rsidRDefault="00105343" w:rsidP="003A01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43" w:rsidRDefault="001053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43" w:rsidRDefault="001053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43" w:rsidRDefault="001053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307"/>
    <w:multiLevelType w:val="hybridMultilevel"/>
    <w:tmpl w:val="62583756"/>
    <w:lvl w:ilvl="0" w:tplc="4E18549A">
      <w:start w:val="1"/>
      <w:numFmt w:val="lowerLetter"/>
      <w:lvlText w:val="%1."/>
      <w:lvlJc w:val="left"/>
      <w:pPr>
        <w:ind w:left="1102" w:hanging="360"/>
      </w:pPr>
      <w:rPr>
        <w:rFonts w:cs="Times New Roman" w:hint="default"/>
        <w:b/>
      </w:rPr>
    </w:lvl>
    <w:lvl w:ilvl="1" w:tplc="08090001">
      <w:start w:val="1"/>
      <w:numFmt w:val="bullet"/>
      <w:lvlText w:val=""/>
      <w:lvlJc w:val="left"/>
      <w:pPr>
        <w:ind w:left="1822" w:hanging="360"/>
      </w:pPr>
      <w:rPr>
        <w:rFonts w:ascii="Symbol" w:hAnsi="Symbol" w:hint="default"/>
      </w:rPr>
    </w:lvl>
    <w:lvl w:ilvl="2" w:tplc="0809001B">
      <w:start w:val="1"/>
      <w:numFmt w:val="lowerRoman"/>
      <w:lvlText w:val="%3."/>
      <w:lvlJc w:val="right"/>
      <w:pPr>
        <w:ind w:left="2542" w:hanging="180"/>
      </w:pPr>
      <w:rPr>
        <w:rFonts w:cs="Times New Roman"/>
      </w:rPr>
    </w:lvl>
    <w:lvl w:ilvl="3" w:tplc="0809000F" w:tentative="1">
      <w:start w:val="1"/>
      <w:numFmt w:val="decimal"/>
      <w:lvlText w:val="%4."/>
      <w:lvlJc w:val="left"/>
      <w:pPr>
        <w:ind w:left="3262" w:hanging="360"/>
      </w:pPr>
      <w:rPr>
        <w:rFonts w:cs="Times New Roman"/>
      </w:rPr>
    </w:lvl>
    <w:lvl w:ilvl="4" w:tplc="08090019" w:tentative="1">
      <w:start w:val="1"/>
      <w:numFmt w:val="lowerLetter"/>
      <w:lvlText w:val="%5."/>
      <w:lvlJc w:val="left"/>
      <w:pPr>
        <w:ind w:left="3982" w:hanging="360"/>
      </w:pPr>
      <w:rPr>
        <w:rFonts w:cs="Times New Roman"/>
      </w:rPr>
    </w:lvl>
    <w:lvl w:ilvl="5" w:tplc="0809001B" w:tentative="1">
      <w:start w:val="1"/>
      <w:numFmt w:val="lowerRoman"/>
      <w:lvlText w:val="%6."/>
      <w:lvlJc w:val="right"/>
      <w:pPr>
        <w:ind w:left="4702" w:hanging="180"/>
      </w:pPr>
      <w:rPr>
        <w:rFonts w:cs="Times New Roman"/>
      </w:rPr>
    </w:lvl>
    <w:lvl w:ilvl="6" w:tplc="0809000F" w:tentative="1">
      <w:start w:val="1"/>
      <w:numFmt w:val="decimal"/>
      <w:lvlText w:val="%7."/>
      <w:lvlJc w:val="left"/>
      <w:pPr>
        <w:ind w:left="5422" w:hanging="360"/>
      </w:pPr>
      <w:rPr>
        <w:rFonts w:cs="Times New Roman"/>
      </w:rPr>
    </w:lvl>
    <w:lvl w:ilvl="7" w:tplc="08090019" w:tentative="1">
      <w:start w:val="1"/>
      <w:numFmt w:val="lowerLetter"/>
      <w:lvlText w:val="%8."/>
      <w:lvlJc w:val="left"/>
      <w:pPr>
        <w:ind w:left="6142" w:hanging="360"/>
      </w:pPr>
      <w:rPr>
        <w:rFonts w:cs="Times New Roman"/>
      </w:rPr>
    </w:lvl>
    <w:lvl w:ilvl="8" w:tplc="0809001B" w:tentative="1">
      <w:start w:val="1"/>
      <w:numFmt w:val="lowerRoman"/>
      <w:lvlText w:val="%9."/>
      <w:lvlJc w:val="right"/>
      <w:pPr>
        <w:ind w:left="6862" w:hanging="180"/>
      </w:pPr>
      <w:rPr>
        <w:rFonts w:cs="Times New Roman"/>
      </w:rPr>
    </w:lvl>
  </w:abstractNum>
  <w:abstractNum w:abstractNumId="1">
    <w:nsid w:val="18E6720F"/>
    <w:multiLevelType w:val="hybridMultilevel"/>
    <w:tmpl w:val="4018414A"/>
    <w:lvl w:ilvl="0" w:tplc="4114F6B6">
      <w:start w:val="1"/>
      <w:numFmt w:val="lowerLetter"/>
      <w:lvlText w:val="%1."/>
      <w:lvlJc w:val="left"/>
      <w:pPr>
        <w:ind w:left="1102" w:hanging="360"/>
      </w:pPr>
      <w:rPr>
        <w:rFonts w:cs="Times New Roman" w:hint="default"/>
        <w:b/>
      </w:rPr>
    </w:lvl>
    <w:lvl w:ilvl="1" w:tplc="08090019" w:tentative="1">
      <w:start w:val="1"/>
      <w:numFmt w:val="lowerLetter"/>
      <w:lvlText w:val="%2."/>
      <w:lvlJc w:val="left"/>
      <w:pPr>
        <w:ind w:left="1822" w:hanging="360"/>
      </w:pPr>
      <w:rPr>
        <w:rFonts w:cs="Times New Roman"/>
      </w:rPr>
    </w:lvl>
    <w:lvl w:ilvl="2" w:tplc="0809001B" w:tentative="1">
      <w:start w:val="1"/>
      <w:numFmt w:val="lowerRoman"/>
      <w:lvlText w:val="%3."/>
      <w:lvlJc w:val="right"/>
      <w:pPr>
        <w:ind w:left="2542" w:hanging="180"/>
      </w:pPr>
      <w:rPr>
        <w:rFonts w:cs="Times New Roman"/>
      </w:rPr>
    </w:lvl>
    <w:lvl w:ilvl="3" w:tplc="0809000F" w:tentative="1">
      <w:start w:val="1"/>
      <w:numFmt w:val="decimal"/>
      <w:lvlText w:val="%4."/>
      <w:lvlJc w:val="left"/>
      <w:pPr>
        <w:ind w:left="3262" w:hanging="360"/>
      </w:pPr>
      <w:rPr>
        <w:rFonts w:cs="Times New Roman"/>
      </w:rPr>
    </w:lvl>
    <w:lvl w:ilvl="4" w:tplc="08090019" w:tentative="1">
      <w:start w:val="1"/>
      <w:numFmt w:val="lowerLetter"/>
      <w:lvlText w:val="%5."/>
      <w:lvlJc w:val="left"/>
      <w:pPr>
        <w:ind w:left="3982" w:hanging="360"/>
      </w:pPr>
      <w:rPr>
        <w:rFonts w:cs="Times New Roman"/>
      </w:rPr>
    </w:lvl>
    <w:lvl w:ilvl="5" w:tplc="0809001B" w:tentative="1">
      <w:start w:val="1"/>
      <w:numFmt w:val="lowerRoman"/>
      <w:lvlText w:val="%6."/>
      <w:lvlJc w:val="right"/>
      <w:pPr>
        <w:ind w:left="4702" w:hanging="180"/>
      </w:pPr>
      <w:rPr>
        <w:rFonts w:cs="Times New Roman"/>
      </w:rPr>
    </w:lvl>
    <w:lvl w:ilvl="6" w:tplc="0809000F" w:tentative="1">
      <w:start w:val="1"/>
      <w:numFmt w:val="decimal"/>
      <w:lvlText w:val="%7."/>
      <w:lvlJc w:val="left"/>
      <w:pPr>
        <w:ind w:left="5422" w:hanging="360"/>
      </w:pPr>
      <w:rPr>
        <w:rFonts w:cs="Times New Roman"/>
      </w:rPr>
    </w:lvl>
    <w:lvl w:ilvl="7" w:tplc="08090019" w:tentative="1">
      <w:start w:val="1"/>
      <w:numFmt w:val="lowerLetter"/>
      <w:lvlText w:val="%8."/>
      <w:lvlJc w:val="left"/>
      <w:pPr>
        <w:ind w:left="6142" w:hanging="360"/>
      </w:pPr>
      <w:rPr>
        <w:rFonts w:cs="Times New Roman"/>
      </w:rPr>
    </w:lvl>
    <w:lvl w:ilvl="8" w:tplc="0809001B" w:tentative="1">
      <w:start w:val="1"/>
      <w:numFmt w:val="lowerRoman"/>
      <w:lvlText w:val="%9."/>
      <w:lvlJc w:val="right"/>
      <w:pPr>
        <w:ind w:left="6862" w:hanging="180"/>
      </w:pPr>
      <w:rPr>
        <w:rFonts w:cs="Times New Roman"/>
      </w:rPr>
    </w:lvl>
  </w:abstractNum>
  <w:abstractNum w:abstractNumId="2">
    <w:nsid w:val="1C9F458F"/>
    <w:multiLevelType w:val="hybridMultilevel"/>
    <w:tmpl w:val="527E3F0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BB14DC8"/>
    <w:multiLevelType w:val="hybridMultilevel"/>
    <w:tmpl w:val="FC804752"/>
    <w:lvl w:ilvl="0" w:tplc="AC3ACCB0">
      <w:start w:val="1"/>
      <w:numFmt w:val="lowerLetter"/>
      <w:lvlText w:val="%1."/>
      <w:lvlJc w:val="left"/>
      <w:pPr>
        <w:ind w:left="1145" w:hanging="360"/>
      </w:pPr>
      <w:rPr>
        <w:rFonts w:cs="Times New Roman" w:hint="default"/>
        <w:b/>
      </w:rPr>
    </w:lvl>
    <w:lvl w:ilvl="1" w:tplc="08090019" w:tentative="1">
      <w:start w:val="1"/>
      <w:numFmt w:val="lowerLetter"/>
      <w:lvlText w:val="%2."/>
      <w:lvlJc w:val="left"/>
      <w:pPr>
        <w:ind w:left="1865" w:hanging="360"/>
      </w:pPr>
      <w:rPr>
        <w:rFonts w:cs="Times New Roman"/>
      </w:rPr>
    </w:lvl>
    <w:lvl w:ilvl="2" w:tplc="0809001B" w:tentative="1">
      <w:start w:val="1"/>
      <w:numFmt w:val="lowerRoman"/>
      <w:lvlText w:val="%3."/>
      <w:lvlJc w:val="right"/>
      <w:pPr>
        <w:ind w:left="2585" w:hanging="180"/>
      </w:pPr>
      <w:rPr>
        <w:rFonts w:cs="Times New Roman"/>
      </w:rPr>
    </w:lvl>
    <w:lvl w:ilvl="3" w:tplc="0809000F" w:tentative="1">
      <w:start w:val="1"/>
      <w:numFmt w:val="decimal"/>
      <w:lvlText w:val="%4."/>
      <w:lvlJc w:val="left"/>
      <w:pPr>
        <w:ind w:left="3305" w:hanging="360"/>
      </w:pPr>
      <w:rPr>
        <w:rFonts w:cs="Times New Roman"/>
      </w:rPr>
    </w:lvl>
    <w:lvl w:ilvl="4" w:tplc="08090019" w:tentative="1">
      <w:start w:val="1"/>
      <w:numFmt w:val="lowerLetter"/>
      <w:lvlText w:val="%5."/>
      <w:lvlJc w:val="left"/>
      <w:pPr>
        <w:ind w:left="4025" w:hanging="360"/>
      </w:pPr>
      <w:rPr>
        <w:rFonts w:cs="Times New Roman"/>
      </w:rPr>
    </w:lvl>
    <w:lvl w:ilvl="5" w:tplc="0809001B" w:tentative="1">
      <w:start w:val="1"/>
      <w:numFmt w:val="lowerRoman"/>
      <w:lvlText w:val="%6."/>
      <w:lvlJc w:val="right"/>
      <w:pPr>
        <w:ind w:left="4745" w:hanging="180"/>
      </w:pPr>
      <w:rPr>
        <w:rFonts w:cs="Times New Roman"/>
      </w:rPr>
    </w:lvl>
    <w:lvl w:ilvl="6" w:tplc="0809000F" w:tentative="1">
      <w:start w:val="1"/>
      <w:numFmt w:val="decimal"/>
      <w:lvlText w:val="%7."/>
      <w:lvlJc w:val="left"/>
      <w:pPr>
        <w:ind w:left="5465" w:hanging="360"/>
      </w:pPr>
      <w:rPr>
        <w:rFonts w:cs="Times New Roman"/>
      </w:rPr>
    </w:lvl>
    <w:lvl w:ilvl="7" w:tplc="08090019" w:tentative="1">
      <w:start w:val="1"/>
      <w:numFmt w:val="lowerLetter"/>
      <w:lvlText w:val="%8."/>
      <w:lvlJc w:val="left"/>
      <w:pPr>
        <w:ind w:left="6185" w:hanging="360"/>
      </w:pPr>
      <w:rPr>
        <w:rFonts w:cs="Times New Roman"/>
      </w:rPr>
    </w:lvl>
    <w:lvl w:ilvl="8" w:tplc="0809001B" w:tentative="1">
      <w:start w:val="1"/>
      <w:numFmt w:val="lowerRoman"/>
      <w:lvlText w:val="%9."/>
      <w:lvlJc w:val="right"/>
      <w:pPr>
        <w:ind w:left="6905" w:hanging="180"/>
      </w:pPr>
      <w:rPr>
        <w:rFonts w:cs="Times New Roman"/>
      </w:rPr>
    </w:lvl>
  </w:abstractNum>
  <w:abstractNum w:abstractNumId="4">
    <w:nsid w:val="4D7E1119"/>
    <w:multiLevelType w:val="hybridMultilevel"/>
    <w:tmpl w:val="591CF9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22761D2"/>
    <w:multiLevelType w:val="hybridMultilevel"/>
    <w:tmpl w:val="03A29C5C"/>
    <w:lvl w:ilvl="0" w:tplc="EEEC6D9E">
      <w:start w:val="1"/>
      <w:numFmt w:val="lowerLetter"/>
      <w:lvlText w:val="%1."/>
      <w:lvlJc w:val="left"/>
      <w:pPr>
        <w:ind w:left="1091" w:hanging="360"/>
      </w:pPr>
      <w:rPr>
        <w:rFonts w:cs="Times New Roman" w:hint="default"/>
        <w:b/>
      </w:rPr>
    </w:lvl>
    <w:lvl w:ilvl="1" w:tplc="08090019" w:tentative="1">
      <w:start w:val="1"/>
      <w:numFmt w:val="lowerLetter"/>
      <w:lvlText w:val="%2."/>
      <w:lvlJc w:val="left"/>
      <w:pPr>
        <w:ind w:left="1811" w:hanging="360"/>
      </w:pPr>
      <w:rPr>
        <w:rFonts w:cs="Times New Roman"/>
      </w:rPr>
    </w:lvl>
    <w:lvl w:ilvl="2" w:tplc="0809001B" w:tentative="1">
      <w:start w:val="1"/>
      <w:numFmt w:val="lowerRoman"/>
      <w:lvlText w:val="%3."/>
      <w:lvlJc w:val="right"/>
      <w:pPr>
        <w:ind w:left="2531" w:hanging="180"/>
      </w:pPr>
      <w:rPr>
        <w:rFonts w:cs="Times New Roman"/>
      </w:rPr>
    </w:lvl>
    <w:lvl w:ilvl="3" w:tplc="0809000F" w:tentative="1">
      <w:start w:val="1"/>
      <w:numFmt w:val="decimal"/>
      <w:lvlText w:val="%4."/>
      <w:lvlJc w:val="left"/>
      <w:pPr>
        <w:ind w:left="3251" w:hanging="360"/>
      </w:pPr>
      <w:rPr>
        <w:rFonts w:cs="Times New Roman"/>
      </w:rPr>
    </w:lvl>
    <w:lvl w:ilvl="4" w:tplc="08090019" w:tentative="1">
      <w:start w:val="1"/>
      <w:numFmt w:val="lowerLetter"/>
      <w:lvlText w:val="%5."/>
      <w:lvlJc w:val="left"/>
      <w:pPr>
        <w:ind w:left="3971" w:hanging="360"/>
      </w:pPr>
      <w:rPr>
        <w:rFonts w:cs="Times New Roman"/>
      </w:rPr>
    </w:lvl>
    <w:lvl w:ilvl="5" w:tplc="0809001B" w:tentative="1">
      <w:start w:val="1"/>
      <w:numFmt w:val="lowerRoman"/>
      <w:lvlText w:val="%6."/>
      <w:lvlJc w:val="right"/>
      <w:pPr>
        <w:ind w:left="4691" w:hanging="180"/>
      </w:pPr>
      <w:rPr>
        <w:rFonts w:cs="Times New Roman"/>
      </w:rPr>
    </w:lvl>
    <w:lvl w:ilvl="6" w:tplc="0809000F" w:tentative="1">
      <w:start w:val="1"/>
      <w:numFmt w:val="decimal"/>
      <w:lvlText w:val="%7."/>
      <w:lvlJc w:val="left"/>
      <w:pPr>
        <w:ind w:left="5411" w:hanging="360"/>
      </w:pPr>
      <w:rPr>
        <w:rFonts w:cs="Times New Roman"/>
      </w:rPr>
    </w:lvl>
    <w:lvl w:ilvl="7" w:tplc="08090019" w:tentative="1">
      <w:start w:val="1"/>
      <w:numFmt w:val="lowerLetter"/>
      <w:lvlText w:val="%8."/>
      <w:lvlJc w:val="left"/>
      <w:pPr>
        <w:ind w:left="6131" w:hanging="360"/>
      </w:pPr>
      <w:rPr>
        <w:rFonts w:cs="Times New Roman"/>
      </w:rPr>
    </w:lvl>
    <w:lvl w:ilvl="8" w:tplc="0809001B" w:tentative="1">
      <w:start w:val="1"/>
      <w:numFmt w:val="lowerRoman"/>
      <w:lvlText w:val="%9."/>
      <w:lvlJc w:val="right"/>
      <w:pPr>
        <w:ind w:left="6851" w:hanging="180"/>
      </w:pPr>
      <w:rPr>
        <w:rFonts w:cs="Times New Roman"/>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921"/>
    <w:rsid w:val="00040E17"/>
    <w:rsid w:val="0006674A"/>
    <w:rsid w:val="000F27F7"/>
    <w:rsid w:val="00105343"/>
    <w:rsid w:val="00134FF0"/>
    <w:rsid w:val="00152DE6"/>
    <w:rsid w:val="00185716"/>
    <w:rsid w:val="00255A7D"/>
    <w:rsid w:val="002A01B9"/>
    <w:rsid w:val="002E0512"/>
    <w:rsid w:val="00337F16"/>
    <w:rsid w:val="003A013C"/>
    <w:rsid w:val="003B6D25"/>
    <w:rsid w:val="00443290"/>
    <w:rsid w:val="00443684"/>
    <w:rsid w:val="004960C3"/>
    <w:rsid w:val="00497A63"/>
    <w:rsid w:val="005B465B"/>
    <w:rsid w:val="006035DA"/>
    <w:rsid w:val="00664A69"/>
    <w:rsid w:val="006876DF"/>
    <w:rsid w:val="00697218"/>
    <w:rsid w:val="006A0FFF"/>
    <w:rsid w:val="006A50C1"/>
    <w:rsid w:val="006F2C9F"/>
    <w:rsid w:val="007B5ED4"/>
    <w:rsid w:val="00812D2F"/>
    <w:rsid w:val="00822CC8"/>
    <w:rsid w:val="00841CF7"/>
    <w:rsid w:val="008C4C57"/>
    <w:rsid w:val="00964982"/>
    <w:rsid w:val="00A35651"/>
    <w:rsid w:val="00C34A01"/>
    <w:rsid w:val="00C71325"/>
    <w:rsid w:val="00C82921"/>
    <w:rsid w:val="00CD55D4"/>
    <w:rsid w:val="00CF2A0D"/>
    <w:rsid w:val="00E06D64"/>
    <w:rsid w:val="00E55878"/>
    <w:rsid w:val="00F5669F"/>
    <w:rsid w:val="00F93BB9"/>
    <w:rsid w:val="00FB605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umnst777 BT" w:eastAsia="Calibri" w:hAnsi="Humnst777 BT"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21"/>
    <w:pPr>
      <w:spacing w:after="160" w:line="259" w:lineRule="auto"/>
    </w:pPr>
    <w:rPr>
      <w:rFonts w:ascii="Calibri" w:hAnsi="Calibri"/>
      <w:lang w:val="en-GB" w:eastAsia="en-US"/>
    </w:rPr>
  </w:style>
  <w:style w:type="paragraph" w:styleId="Heading1">
    <w:name w:val="heading 1"/>
    <w:basedOn w:val="Normal"/>
    <w:next w:val="Normal"/>
    <w:link w:val="Heading1Char"/>
    <w:uiPriority w:val="99"/>
    <w:qFormat/>
    <w:rsid w:val="003B6D25"/>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3B6D25"/>
    <w:pPr>
      <w:keepNext/>
      <w:keepLines/>
      <w:spacing w:before="200"/>
      <w:outlineLvl w:val="1"/>
    </w:pPr>
    <w:rPr>
      <w:rFonts w:eastAsia="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6D25"/>
    <w:rPr>
      <w:rFonts w:eastAsia="Times New Roman" w:cs="Times New Roman"/>
      <w:b/>
      <w:bCs/>
      <w:color w:val="365F91"/>
      <w:sz w:val="28"/>
      <w:szCs w:val="28"/>
    </w:rPr>
  </w:style>
  <w:style w:type="character" w:customStyle="1" w:styleId="Heading2Char">
    <w:name w:val="Heading 2 Char"/>
    <w:basedOn w:val="DefaultParagraphFont"/>
    <w:link w:val="Heading2"/>
    <w:uiPriority w:val="99"/>
    <w:locked/>
    <w:rsid w:val="003B6D25"/>
    <w:rPr>
      <w:rFonts w:eastAsia="Times New Roman" w:cs="Times New Roman"/>
      <w:b/>
      <w:bCs/>
      <w:color w:val="4F81BD"/>
      <w:sz w:val="26"/>
      <w:szCs w:val="26"/>
    </w:rPr>
  </w:style>
  <w:style w:type="paragraph" w:styleId="Header">
    <w:name w:val="header"/>
    <w:basedOn w:val="Normal"/>
    <w:link w:val="HeaderChar"/>
    <w:uiPriority w:val="99"/>
    <w:rsid w:val="003A013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A013C"/>
    <w:rPr>
      <w:rFonts w:cs="Times New Roman"/>
    </w:rPr>
  </w:style>
  <w:style w:type="paragraph" w:styleId="Footer">
    <w:name w:val="footer"/>
    <w:basedOn w:val="Normal"/>
    <w:link w:val="FooterChar"/>
    <w:uiPriority w:val="99"/>
    <w:rsid w:val="003A013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A013C"/>
    <w:rPr>
      <w:rFonts w:cs="Times New Roman"/>
    </w:rPr>
  </w:style>
  <w:style w:type="paragraph" w:styleId="ListParagraph">
    <w:name w:val="List Paragraph"/>
    <w:basedOn w:val="Normal"/>
    <w:uiPriority w:val="99"/>
    <w:qFormat/>
    <w:rsid w:val="00C82921"/>
    <w:pPr>
      <w:ind w:left="720"/>
      <w:contextualSpacing/>
    </w:pPr>
  </w:style>
  <w:style w:type="character" w:styleId="Hyperlink">
    <w:name w:val="Hyperlink"/>
    <w:basedOn w:val="DefaultParagraphFont"/>
    <w:uiPriority w:val="99"/>
    <w:rsid w:val="00C8292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rojuris.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463</Words>
  <Characters>2919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Hearle</dc:creator>
  <cp:keywords/>
  <dc:description/>
  <cp:lastModifiedBy>user</cp:lastModifiedBy>
  <cp:revision>2</cp:revision>
  <dcterms:created xsi:type="dcterms:W3CDTF">2020-05-08T12:53:00Z</dcterms:created>
  <dcterms:modified xsi:type="dcterms:W3CDTF">2020-05-08T12:53:00Z</dcterms:modified>
</cp:coreProperties>
</file>